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6E" w:rsidRPr="00F328D0" w:rsidRDefault="007E2E14">
      <w:pPr>
        <w:rPr>
          <w:rFonts w:asciiTheme="majorBidi" w:hAnsiTheme="majorBidi" w:cstheme="majorBidi"/>
          <w:sz w:val="36"/>
          <w:szCs w:val="36"/>
        </w:rPr>
      </w:pPr>
      <w:bookmarkStart w:id="0" w:name="_GoBack"/>
      <w:bookmarkEnd w:id="0"/>
      <w:r w:rsidRPr="00F328D0">
        <w:rPr>
          <w:rFonts w:asciiTheme="majorBidi" w:hAnsiTheme="majorBidi" w:cstheme="majorBidi"/>
          <w:sz w:val="36"/>
          <w:szCs w:val="36"/>
        </w:rPr>
        <w:t xml:space="preserve">Prostho sheet #16 </w:t>
      </w:r>
    </w:p>
    <w:p w:rsidR="007E2E14" w:rsidRPr="00F328D0" w:rsidRDefault="007E2E14">
      <w:pPr>
        <w:rPr>
          <w:rFonts w:asciiTheme="majorBidi" w:hAnsiTheme="majorBidi" w:cstheme="majorBidi"/>
          <w:sz w:val="36"/>
          <w:szCs w:val="36"/>
        </w:rPr>
      </w:pPr>
      <w:r w:rsidRPr="00F328D0">
        <w:rPr>
          <w:rFonts w:asciiTheme="majorBidi" w:hAnsiTheme="majorBidi" w:cstheme="majorBidi"/>
          <w:sz w:val="36"/>
          <w:szCs w:val="36"/>
        </w:rPr>
        <w:t>Done by: Aseel Al Ananzeh</w:t>
      </w:r>
    </w:p>
    <w:p w:rsidR="007E2E14" w:rsidRPr="00F328D0" w:rsidRDefault="007E2E14" w:rsidP="007E2E14">
      <w:pPr>
        <w:jc w:val="center"/>
        <w:rPr>
          <w:rFonts w:asciiTheme="majorBidi" w:hAnsiTheme="majorBidi" w:cstheme="majorBidi"/>
          <w:sz w:val="36"/>
          <w:szCs w:val="36"/>
        </w:rPr>
      </w:pPr>
    </w:p>
    <w:p w:rsidR="007E2E14" w:rsidRPr="00F328D0" w:rsidRDefault="007E2E14" w:rsidP="007E2E14">
      <w:pPr>
        <w:jc w:val="center"/>
        <w:rPr>
          <w:rFonts w:asciiTheme="majorBidi" w:hAnsiTheme="majorBidi" w:cstheme="majorBidi"/>
          <w:sz w:val="36"/>
          <w:szCs w:val="36"/>
        </w:rPr>
      </w:pPr>
      <w:r w:rsidRPr="00F328D0">
        <w:rPr>
          <w:rFonts w:asciiTheme="majorBidi" w:hAnsiTheme="majorBidi" w:cstheme="majorBidi"/>
          <w:sz w:val="36"/>
          <w:szCs w:val="36"/>
        </w:rPr>
        <w:t>Dental oral implantology in prosthodontics</w:t>
      </w:r>
    </w:p>
    <w:p w:rsidR="007E2E14" w:rsidRPr="00F328D0" w:rsidRDefault="007E2E14" w:rsidP="007E2E14">
      <w:pPr>
        <w:rPr>
          <w:rFonts w:asciiTheme="majorBidi" w:hAnsiTheme="majorBidi" w:cstheme="majorBidi"/>
          <w:sz w:val="36"/>
          <w:szCs w:val="36"/>
        </w:rPr>
      </w:pPr>
      <w:r w:rsidRPr="00F328D0">
        <w:rPr>
          <w:rFonts w:asciiTheme="majorBidi" w:hAnsiTheme="majorBidi" w:cstheme="majorBidi"/>
          <w:sz w:val="36"/>
          <w:szCs w:val="36"/>
        </w:rPr>
        <w:t>**I don’t think that they ask about history in viva so I’m not going to mention it.</w:t>
      </w:r>
    </w:p>
    <w:p w:rsidR="007E2E14" w:rsidRPr="00F328D0" w:rsidRDefault="007E2E14" w:rsidP="007E2E14">
      <w:pPr>
        <w:pStyle w:val="a3"/>
        <w:bidi w:val="0"/>
        <w:ind w:left="0"/>
        <w:rPr>
          <w:rFonts w:asciiTheme="majorBidi" w:hAnsiTheme="majorBidi" w:cstheme="majorBidi"/>
          <w:sz w:val="36"/>
          <w:szCs w:val="36"/>
        </w:rPr>
      </w:pPr>
      <w:r w:rsidRPr="00F328D0">
        <w:rPr>
          <w:rFonts w:asciiTheme="majorBidi" w:hAnsiTheme="majorBidi" w:cstheme="majorBidi"/>
          <w:sz w:val="36"/>
          <w:szCs w:val="36"/>
        </w:rPr>
        <w:t>-The only 2 implant systems that can be approached extraorally are: Small (mandibular stable implants) and Bosker (trans-mandibular implant).</w:t>
      </w:r>
    </w:p>
    <w:p w:rsidR="007E2E14" w:rsidRPr="00F328D0" w:rsidRDefault="007E2E14" w:rsidP="007E2E14">
      <w:pPr>
        <w:rPr>
          <w:rFonts w:asciiTheme="majorBidi" w:hAnsiTheme="majorBidi" w:cstheme="majorBidi"/>
          <w:sz w:val="36"/>
          <w:szCs w:val="36"/>
        </w:rPr>
      </w:pPr>
      <w:r w:rsidRPr="00F328D0">
        <w:rPr>
          <w:rFonts w:asciiTheme="majorBidi" w:hAnsiTheme="majorBidi" w:cstheme="majorBidi"/>
          <w:sz w:val="36"/>
          <w:szCs w:val="36"/>
        </w:rPr>
        <w:t>-Branemark was the first to describe osseointegration.</w:t>
      </w:r>
    </w:p>
    <w:p w:rsidR="007E2E14" w:rsidRPr="00F328D0" w:rsidRDefault="007E2E14" w:rsidP="008010F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w:t>
      </w:r>
      <w:r w:rsidRPr="00F328D0">
        <w:rPr>
          <w:rFonts w:asciiTheme="majorBidi" w:hAnsiTheme="majorBidi" w:cstheme="majorBidi"/>
          <w:b/>
          <w:bCs/>
          <w:sz w:val="36"/>
          <w:szCs w:val="36"/>
        </w:rPr>
        <w:t>Osseointegration</w:t>
      </w:r>
      <w:r w:rsidR="008010F0" w:rsidRPr="00F328D0">
        <w:rPr>
          <w:rFonts w:asciiTheme="majorBidi" w:hAnsiTheme="majorBidi" w:cstheme="majorBidi"/>
          <w:b/>
          <w:bCs/>
          <w:sz w:val="36"/>
          <w:szCs w:val="36"/>
        </w:rPr>
        <w:t xml:space="preserve"> (histological definition)</w:t>
      </w:r>
      <w:r w:rsidRPr="00F328D0">
        <w:rPr>
          <w:rFonts w:asciiTheme="majorBidi" w:hAnsiTheme="majorBidi" w:cstheme="majorBidi"/>
          <w:sz w:val="36"/>
          <w:szCs w:val="36"/>
        </w:rPr>
        <w:t xml:space="preserve"> is a process of direct structural and functional connection between the Living bone and the surface of the alloplastic material (titanium) which is achieved under functional loading at a </w:t>
      </w:r>
      <w:r w:rsidRPr="00F328D0">
        <w:rPr>
          <w:rFonts w:asciiTheme="majorBidi" w:hAnsiTheme="majorBidi" w:cstheme="majorBidi"/>
          <w:b/>
          <w:bCs/>
          <w:sz w:val="36"/>
          <w:szCs w:val="36"/>
        </w:rPr>
        <w:t>microscopic</w:t>
      </w:r>
      <w:r w:rsidR="008010F0" w:rsidRPr="00F328D0">
        <w:rPr>
          <w:rFonts w:asciiTheme="majorBidi" w:hAnsiTheme="majorBidi" w:cstheme="majorBidi"/>
          <w:sz w:val="36"/>
          <w:szCs w:val="36"/>
        </w:rPr>
        <w:t xml:space="preserve"> level, it’s also called</w:t>
      </w:r>
      <w:r w:rsidRPr="00F328D0">
        <w:rPr>
          <w:rFonts w:asciiTheme="majorBidi" w:hAnsiTheme="majorBidi" w:cstheme="majorBidi"/>
          <w:sz w:val="36"/>
          <w:szCs w:val="36"/>
        </w:rPr>
        <w:t xml:space="preserve"> “functional ankyl</w:t>
      </w:r>
      <w:r w:rsidR="008010F0" w:rsidRPr="00F328D0">
        <w:rPr>
          <w:rFonts w:asciiTheme="majorBidi" w:hAnsiTheme="majorBidi" w:cstheme="majorBidi"/>
          <w:sz w:val="36"/>
          <w:szCs w:val="36"/>
        </w:rPr>
        <w:t>osis".</w:t>
      </w:r>
    </w:p>
    <w:p w:rsidR="008010F0" w:rsidRPr="00F328D0" w:rsidRDefault="008010F0" w:rsidP="008010F0">
      <w:pPr>
        <w:pStyle w:val="a3"/>
        <w:bidi w:val="0"/>
        <w:ind w:left="0"/>
        <w:rPr>
          <w:rFonts w:asciiTheme="majorBidi" w:hAnsiTheme="majorBidi" w:cstheme="majorBidi"/>
          <w:sz w:val="36"/>
          <w:szCs w:val="36"/>
        </w:rPr>
      </w:pPr>
      <w:r w:rsidRPr="00F328D0">
        <w:rPr>
          <w:rFonts w:asciiTheme="majorBidi" w:hAnsiTheme="majorBidi" w:cstheme="majorBidi"/>
          <w:sz w:val="36"/>
          <w:szCs w:val="36"/>
        </w:rPr>
        <w:t>-Zarb definition (clinical definition): A time dependent healing process where asymptomatic rigid fixation of alloplastic material is achieved and maintained in bone during functional loading.</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w:t>
      </w:r>
      <w:r w:rsidRPr="00F328D0">
        <w:rPr>
          <w:rFonts w:asciiTheme="majorBidi" w:hAnsiTheme="majorBidi" w:cstheme="majorBidi"/>
          <w:b/>
          <w:bCs/>
          <w:sz w:val="36"/>
          <w:szCs w:val="36"/>
        </w:rPr>
        <w:t>Fibrointegration</w:t>
      </w:r>
      <w:r w:rsidRPr="00F328D0">
        <w:rPr>
          <w:rFonts w:asciiTheme="majorBidi" w:hAnsiTheme="majorBidi" w:cstheme="majorBidi"/>
          <w:sz w:val="36"/>
          <w:szCs w:val="36"/>
        </w:rPr>
        <w:t>: is fibrous tissue between the interface surface of the Implant and the bone to mimic the PDL like the natural teeth, no primary stability will be there and the failure rate was more than 75 % after 5 years so fibrous tissue between the bone and metal is considered a non-integrated failed implant.</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 xml:space="preserve">-Many different implant materials were known: gold, silver, stainless steel, titanium, palladium and nonmetallic materials </w:t>
      </w:r>
      <w:r w:rsidRPr="00F328D0">
        <w:rPr>
          <w:rFonts w:asciiTheme="majorBidi" w:hAnsiTheme="majorBidi" w:cstheme="majorBidi"/>
          <w:sz w:val="36"/>
          <w:szCs w:val="36"/>
        </w:rPr>
        <w:lastRenderedPageBreak/>
        <w:t xml:space="preserve">such as Indian rubber, ivory, porcelain, poly methyl methacrylate, Ceramics, carbon, and zirconium. </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-Ti is the most common implant material:</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1. Biocompatible</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2. Excellent mechanical properties; 6x stronger than cortical bone.</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3. Intimate contact with bone.</w:t>
      </w:r>
    </w:p>
    <w:p w:rsidR="009B0AAD" w:rsidRPr="00F328D0" w:rsidRDefault="009B0AAD"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4. It contains Nickel so have the corrosion resistance property.</w:t>
      </w:r>
    </w:p>
    <w:p w:rsidR="009B0AAD" w:rsidRPr="00F328D0" w:rsidRDefault="003366EB" w:rsidP="009B0AAD">
      <w:pPr>
        <w:pStyle w:val="a3"/>
        <w:bidi w:val="0"/>
        <w:ind w:left="0"/>
        <w:rPr>
          <w:rFonts w:asciiTheme="majorBidi" w:hAnsiTheme="majorBidi" w:cstheme="majorBidi"/>
          <w:sz w:val="36"/>
          <w:szCs w:val="36"/>
        </w:rPr>
      </w:pPr>
      <w:r w:rsidRPr="00F328D0">
        <w:rPr>
          <w:rFonts w:asciiTheme="majorBidi" w:hAnsiTheme="majorBidi" w:cstheme="majorBidi"/>
          <w:sz w:val="36"/>
          <w:szCs w:val="36"/>
        </w:rPr>
        <w:t>An oxide layer forms on the surface of titanium causing the osseointegration.</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-Coating materials: produce rough surface on the implants to increase the surface area between the implant and the bone.</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 xml:space="preserve">     1. Ti plasma spray: wait 5 months for the maxilla and 3 for the mandible.</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 xml:space="preserve">     2. Sand blasted large grit acid etch: wait 3 months for the maxilla and 1.5 months for the mandible.</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 xml:space="preserve">     3. Hydroxyapatite: it fails in the end due to cracks and microorganisms invasion.</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 xml:space="preserve">     4. Bioactive materials: 3 weeks for the maxilla and 2 weeks for the mandible but very expensive.</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-methods of coating: sandblasting, acid etching, and laser.</w:t>
      </w:r>
    </w:p>
    <w:p w:rsidR="003366EB" w:rsidRPr="00F328D0" w:rsidRDefault="003366EB" w:rsidP="003366EB">
      <w:pPr>
        <w:rPr>
          <w:rFonts w:asciiTheme="majorBidi" w:hAnsiTheme="majorBidi" w:cstheme="majorBidi"/>
          <w:sz w:val="36"/>
          <w:szCs w:val="36"/>
        </w:rPr>
      </w:pPr>
      <w:r w:rsidRPr="00F328D0">
        <w:rPr>
          <w:rFonts w:asciiTheme="majorBidi" w:hAnsiTheme="majorBidi" w:cstheme="majorBidi"/>
          <w:sz w:val="36"/>
          <w:szCs w:val="36"/>
        </w:rPr>
        <w:t>**comparison:</w:t>
      </w:r>
    </w:p>
    <w:p w:rsidR="003B62B0" w:rsidRPr="00F328D0" w:rsidRDefault="003B62B0" w:rsidP="003B62B0">
      <w:pPr>
        <w:pStyle w:val="a3"/>
        <w:numPr>
          <w:ilvl w:val="0"/>
          <w:numId w:val="4"/>
        </w:numPr>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Stainless steel, Co/Cr, gold alloys, and polymethyl methacrylate are biotolerant with fibrous distant osteogenesis.</w:t>
      </w:r>
    </w:p>
    <w:p w:rsidR="003B62B0" w:rsidRPr="00F328D0" w:rsidRDefault="003B62B0" w:rsidP="003B62B0">
      <w:pPr>
        <w:pStyle w:val="a3"/>
        <w:numPr>
          <w:ilvl w:val="0"/>
          <w:numId w:val="4"/>
        </w:numPr>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lastRenderedPageBreak/>
        <w:t xml:space="preserve"> Ti and ceramics are bioinert with close intimate contact with bone,</w:t>
      </w:r>
    </w:p>
    <w:p w:rsidR="003B62B0" w:rsidRPr="00F328D0" w:rsidRDefault="003B62B0" w:rsidP="003B62B0">
      <w:pPr>
        <w:pStyle w:val="a3"/>
        <w:numPr>
          <w:ilvl w:val="0"/>
          <w:numId w:val="4"/>
        </w:numPr>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Bioceramics and hydroxyapatite are bioactive with a true chemical bond.</w:t>
      </w:r>
    </w:p>
    <w:p w:rsidR="003B62B0" w:rsidRPr="00F328D0" w:rsidRDefault="003B62B0" w:rsidP="003B62B0">
      <w:pPr>
        <w:autoSpaceDE w:val="0"/>
        <w:autoSpaceDN w:val="0"/>
        <w:adjustRightInd w:val="0"/>
        <w:spacing w:after="0" w:line="240" w:lineRule="auto"/>
        <w:rPr>
          <w:rFonts w:asciiTheme="majorBidi" w:hAnsiTheme="majorBidi" w:cstheme="majorBidi"/>
          <w:sz w:val="36"/>
          <w:szCs w:val="36"/>
        </w:rPr>
      </w:pPr>
    </w:p>
    <w:p w:rsidR="003B62B0" w:rsidRPr="00F328D0" w:rsidRDefault="003B62B0" w:rsidP="003B62B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 xml:space="preserve">-Implants classification: according to form and position: </w:t>
      </w:r>
    </w:p>
    <w:p w:rsidR="003B62B0" w:rsidRPr="00F328D0" w:rsidRDefault="003B62B0" w:rsidP="003B62B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.Intramucosal implants.</w:t>
      </w:r>
    </w:p>
    <w:p w:rsidR="003B62B0" w:rsidRPr="00F328D0" w:rsidRDefault="003B62B0" w:rsidP="003B62B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.Titanium mucosal inserts.</w:t>
      </w:r>
    </w:p>
    <w:p w:rsidR="003B62B0" w:rsidRPr="00F328D0" w:rsidRDefault="00717000" w:rsidP="003B62B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 xml:space="preserve">.Subperiosteal implants: metal framework overlying the bone, used only in the mandible when </w:t>
      </w:r>
      <w:r w:rsidR="00AD7975" w:rsidRPr="00F328D0">
        <w:rPr>
          <w:rFonts w:asciiTheme="majorBidi" w:hAnsiTheme="majorBidi" w:cstheme="majorBidi"/>
          <w:sz w:val="36"/>
          <w:szCs w:val="36"/>
        </w:rPr>
        <w:t>it’s 6 mm short but low succes</w:t>
      </w:r>
      <w:r w:rsidRPr="00F328D0">
        <w:rPr>
          <w:rFonts w:asciiTheme="majorBidi" w:hAnsiTheme="majorBidi" w:cstheme="majorBidi"/>
          <w:sz w:val="36"/>
          <w:szCs w:val="36"/>
        </w:rPr>
        <w:t>s rate and risk of infection spread.</w:t>
      </w:r>
    </w:p>
    <w:p w:rsidR="003B62B0" w:rsidRPr="00F328D0" w:rsidRDefault="00AD7975" w:rsidP="003B62B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.Transosseous dental implants (stable implants): needs GI and extraoral approach and used in mandible only.</w:t>
      </w:r>
    </w:p>
    <w:p w:rsidR="003B62B0" w:rsidRPr="00F328D0" w:rsidRDefault="003B62B0" w:rsidP="003B62B0">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.Endosseous dental implants, used these days.</w:t>
      </w:r>
    </w:p>
    <w:p w:rsidR="00AD7975" w:rsidRPr="00F328D0" w:rsidRDefault="00AD7975" w:rsidP="00AD7975">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-Strama and IP system introduced 4mm implant with a 4.8 mm diameter and these used in posterior mandible where bone is short or where we are very close to vital structures.</w:t>
      </w:r>
    </w:p>
    <w:p w:rsidR="00AD7975" w:rsidRPr="00F328D0" w:rsidRDefault="00AD7975" w:rsidP="00AD7975">
      <w:pPr>
        <w:pStyle w:val="a3"/>
        <w:autoSpaceDE w:val="0"/>
        <w:autoSpaceDN w:val="0"/>
        <w:bidi w:val="0"/>
        <w:adjustRightInd w:val="0"/>
        <w:spacing w:after="0" w:line="240" w:lineRule="auto"/>
        <w:ind w:left="0"/>
        <w:rPr>
          <w:rFonts w:asciiTheme="majorBidi" w:hAnsiTheme="majorBidi" w:cstheme="majorBidi"/>
          <w:sz w:val="36"/>
          <w:szCs w:val="36"/>
        </w:rPr>
      </w:pPr>
    </w:p>
    <w:p w:rsidR="00AD7975" w:rsidRPr="00F328D0" w:rsidRDefault="00AD7975" w:rsidP="00AD7975">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-Classification according to surgical steps: one step</w:t>
      </w:r>
      <w:r w:rsidR="00172678" w:rsidRPr="00F328D0">
        <w:rPr>
          <w:rFonts w:asciiTheme="majorBidi" w:hAnsiTheme="majorBidi" w:cstheme="majorBidi"/>
          <w:sz w:val="36"/>
          <w:szCs w:val="36"/>
        </w:rPr>
        <w:t xml:space="preserve"> without submerging the implant and covering it by mucosa (ITI system), and two steps; where the implants are submerged then we reopen and put a gingival former then connect it with the prosthesis.</w:t>
      </w:r>
    </w:p>
    <w:p w:rsidR="00172678" w:rsidRPr="00F328D0" w:rsidRDefault="00172678" w:rsidP="00172678">
      <w:pPr>
        <w:pStyle w:val="a3"/>
        <w:autoSpaceDE w:val="0"/>
        <w:autoSpaceDN w:val="0"/>
        <w:bidi w:val="0"/>
        <w:adjustRightInd w:val="0"/>
        <w:spacing w:after="0" w:line="240" w:lineRule="auto"/>
        <w:ind w:left="0"/>
        <w:rPr>
          <w:rFonts w:asciiTheme="majorBidi" w:hAnsiTheme="majorBidi" w:cstheme="majorBidi"/>
          <w:sz w:val="36"/>
          <w:szCs w:val="36"/>
        </w:rPr>
      </w:pPr>
    </w:p>
    <w:p w:rsidR="00172678" w:rsidRPr="00F328D0" w:rsidRDefault="00172678" w:rsidP="00172678">
      <w:pPr>
        <w:pStyle w:val="a3"/>
        <w:autoSpaceDE w:val="0"/>
        <w:autoSpaceDN w:val="0"/>
        <w:bidi w:val="0"/>
        <w:adjustRightInd w:val="0"/>
        <w:spacing w:after="0" w:line="240" w:lineRule="auto"/>
        <w:ind w:left="0"/>
        <w:rPr>
          <w:rFonts w:asciiTheme="majorBidi" w:hAnsiTheme="majorBidi" w:cstheme="majorBidi"/>
          <w:sz w:val="36"/>
          <w:szCs w:val="36"/>
        </w:rPr>
      </w:pPr>
    </w:p>
    <w:p w:rsidR="00172678" w:rsidRPr="00F328D0" w:rsidRDefault="00172678" w:rsidP="00172678">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 Indications of dental implants:</w:t>
      </w:r>
    </w:p>
    <w:p w:rsidR="00172678" w:rsidRPr="00F328D0" w:rsidRDefault="00172678" w:rsidP="00172678">
      <w:pPr>
        <w:pStyle w:val="a3"/>
        <w:autoSpaceDE w:val="0"/>
        <w:autoSpaceDN w:val="0"/>
        <w:bidi w:val="0"/>
        <w:adjustRightInd w:val="0"/>
        <w:spacing w:after="0" w:line="240" w:lineRule="auto"/>
        <w:ind w:left="0"/>
        <w:rPr>
          <w:rFonts w:asciiTheme="majorBidi" w:hAnsiTheme="majorBidi" w:cstheme="majorBidi"/>
          <w:sz w:val="36"/>
          <w:szCs w:val="36"/>
        </w:rPr>
      </w:pPr>
      <w:r w:rsidRPr="00F328D0">
        <w:rPr>
          <w:rFonts w:asciiTheme="majorBidi" w:hAnsiTheme="majorBidi" w:cstheme="majorBidi"/>
          <w:sz w:val="36"/>
          <w:szCs w:val="36"/>
        </w:rPr>
        <w:t xml:space="preserve">. </w:t>
      </w:r>
      <w:r w:rsidR="00D76D8D" w:rsidRPr="00F328D0">
        <w:rPr>
          <w:rFonts w:asciiTheme="majorBidi" w:hAnsiTheme="majorBidi" w:cstheme="majorBidi"/>
          <w:sz w:val="36"/>
          <w:szCs w:val="36"/>
        </w:rPr>
        <w:t xml:space="preserve">Patients older than 19 after bone growth has stopped, we start with motivating the patient to maintain good oral hygiene. </w:t>
      </w:r>
    </w:p>
    <w:p w:rsidR="00D76D8D" w:rsidRPr="00F328D0" w:rsidRDefault="00D76D8D" w:rsidP="00D76D8D">
      <w:pPr>
        <w:bidi/>
        <w:jc w:val="right"/>
        <w:rPr>
          <w:rFonts w:asciiTheme="majorBidi" w:hAnsiTheme="majorBidi" w:cstheme="majorBidi"/>
          <w:sz w:val="36"/>
          <w:szCs w:val="36"/>
        </w:rPr>
      </w:pPr>
      <w:r w:rsidRPr="00F328D0">
        <w:rPr>
          <w:rFonts w:asciiTheme="majorBidi" w:hAnsiTheme="majorBidi" w:cstheme="majorBidi"/>
          <w:sz w:val="36"/>
          <w:szCs w:val="36"/>
        </w:rPr>
        <w:t xml:space="preserve">. </w:t>
      </w:r>
      <w:r w:rsidRPr="00F328D0">
        <w:rPr>
          <w:rFonts w:asciiTheme="majorBidi" w:hAnsiTheme="majorBidi" w:cstheme="majorBidi"/>
          <w:b/>
          <w:bCs/>
          <w:i/>
          <w:iCs/>
          <w:sz w:val="36"/>
          <w:szCs w:val="36"/>
        </w:rPr>
        <w:t>Completely edentulous upper arch we either use 6-implant-supported-fixed prosthesis (cr0wns/bridges) or 2</w:t>
      </w:r>
      <w:r w:rsidRPr="00F328D0">
        <w:rPr>
          <w:rFonts w:asciiTheme="majorBidi" w:hAnsiTheme="majorBidi" w:cstheme="majorBidi"/>
          <w:sz w:val="36"/>
          <w:szCs w:val="36"/>
        </w:rPr>
        <w:t xml:space="preserve">-implant retained over-denture with ball attachments, bar attachments or magnet. </w:t>
      </w:r>
    </w:p>
    <w:p w:rsidR="00D76D8D" w:rsidRPr="00F328D0" w:rsidRDefault="00D76D8D" w:rsidP="00D76D8D">
      <w:pPr>
        <w:bidi/>
        <w:jc w:val="right"/>
        <w:rPr>
          <w:rFonts w:asciiTheme="majorBidi" w:hAnsiTheme="majorBidi" w:cstheme="majorBidi"/>
          <w:sz w:val="36"/>
          <w:szCs w:val="36"/>
        </w:rPr>
      </w:pPr>
      <w:r w:rsidRPr="00F328D0">
        <w:rPr>
          <w:rFonts w:asciiTheme="majorBidi" w:hAnsiTheme="majorBidi" w:cstheme="majorBidi"/>
          <w:sz w:val="36"/>
          <w:szCs w:val="36"/>
        </w:rPr>
        <w:t>. Partially edentulous long span.</w:t>
      </w:r>
    </w:p>
    <w:p w:rsidR="00D76D8D" w:rsidRPr="00F328D0" w:rsidRDefault="00D76D8D" w:rsidP="00D76D8D">
      <w:pPr>
        <w:bidi/>
        <w:jc w:val="right"/>
        <w:rPr>
          <w:rFonts w:asciiTheme="majorBidi" w:hAnsiTheme="majorBidi" w:cstheme="majorBidi"/>
          <w:sz w:val="36"/>
          <w:szCs w:val="36"/>
        </w:rPr>
      </w:pPr>
      <w:r w:rsidRPr="00F328D0">
        <w:rPr>
          <w:rFonts w:asciiTheme="majorBidi" w:hAnsiTheme="majorBidi" w:cstheme="majorBidi"/>
          <w:sz w:val="36"/>
          <w:szCs w:val="36"/>
        </w:rPr>
        <w:t xml:space="preserve">. </w:t>
      </w:r>
      <w:r w:rsidR="00A6053E" w:rsidRPr="00F328D0">
        <w:rPr>
          <w:rFonts w:asciiTheme="majorBidi" w:hAnsiTheme="majorBidi" w:cstheme="majorBidi"/>
          <w:sz w:val="36"/>
          <w:szCs w:val="36"/>
        </w:rPr>
        <w:t>Replacing</w:t>
      </w:r>
      <w:r w:rsidRPr="00F328D0">
        <w:rPr>
          <w:rFonts w:asciiTheme="majorBidi" w:hAnsiTheme="majorBidi" w:cstheme="majorBidi"/>
          <w:sz w:val="36"/>
          <w:szCs w:val="36"/>
        </w:rPr>
        <w:t xml:space="preserve"> missing central or lateral incisor</w:t>
      </w:r>
      <w:r w:rsidR="00A6053E" w:rsidRPr="00F328D0">
        <w:rPr>
          <w:rFonts w:asciiTheme="majorBidi" w:hAnsiTheme="majorBidi" w:cstheme="majorBidi"/>
          <w:sz w:val="36"/>
          <w:szCs w:val="36"/>
        </w:rPr>
        <w:t>.</w:t>
      </w:r>
    </w:p>
    <w:p w:rsidR="00A6053E" w:rsidRPr="00F328D0" w:rsidRDefault="00A6053E" w:rsidP="00A6053E">
      <w:pPr>
        <w:bidi/>
        <w:jc w:val="right"/>
        <w:rPr>
          <w:rFonts w:asciiTheme="majorBidi" w:hAnsiTheme="majorBidi" w:cstheme="majorBidi"/>
          <w:sz w:val="36"/>
          <w:szCs w:val="36"/>
        </w:rPr>
      </w:pPr>
      <w:r w:rsidRPr="00F328D0">
        <w:rPr>
          <w:rFonts w:asciiTheme="majorBidi" w:hAnsiTheme="majorBidi" w:cstheme="majorBidi"/>
          <w:sz w:val="36"/>
          <w:szCs w:val="36"/>
        </w:rPr>
        <w:t>. Patients with compromised denture bearing area,</w:t>
      </w:r>
    </w:p>
    <w:p w:rsidR="00A6053E" w:rsidRPr="00F328D0" w:rsidRDefault="00A6053E" w:rsidP="00A6053E">
      <w:pPr>
        <w:bidi/>
        <w:jc w:val="right"/>
        <w:rPr>
          <w:rFonts w:asciiTheme="majorBidi" w:hAnsiTheme="majorBidi" w:cstheme="majorBidi"/>
          <w:sz w:val="36"/>
          <w:szCs w:val="36"/>
        </w:rPr>
      </w:pPr>
      <w:r w:rsidRPr="00F328D0">
        <w:rPr>
          <w:rFonts w:asciiTheme="majorBidi" w:hAnsiTheme="majorBidi" w:cstheme="majorBidi"/>
          <w:sz w:val="36"/>
          <w:szCs w:val="36"/>
        </w:rPr>
        <w:t>. Patients with gag reflex.</w:t>
      </w:r>
    </w:p>
    <w:p w:rsidR="00A6053E" w:rsidRPr="00F328D0" w:rsidRDefault="00A6053E" w:rsidP="00A6053E">
      <w:pPr>
        <w:bidi/>
        <w:jc w:val="right"/>
        <w:rPr>
          <w:rFonts w:asciiTheme="majorBidi" w:hAnsiTheme="majorBidi" w:cstheme="majorBidi"/>
          <w:sz w:val="36"/>
          <w:szCs w:val="36"/>
        </w:rPr>
      </w:pPr>
      <w:r w:rsidRPr="00F328D0">
        <w:rPr>
          <w:rFonts w:asciiTheme="majorBidi" w:hAnsiTheme="majorBidi" w:cstheme="majorBidi"/>
          <w:sz w:val="36"/>
          <w:szCs w:val="36"/>
        </w:rPr>
        <w:t>. Patients with psychological/emotional problems.</w:t>
      </w:r>
    </w:p>
    <w:p w:rsidR="00870ED9" w:rsidRPr="00F328D0" w:rsidRDefault="00870ED9" w:rsidP="00870ED9">
      <w:pPr>
        <w:bidi/>
        <w:jc w:val="right"/>
        <w:rPr>
          <w:rFonts w:asciiTheme="majorBidi" w:hAnsiTheme="majorBidi" w:cstheme="majorBidi"/>
          <w:sz w:val="36"/>
          <w:szCs w:val="36"/>
        </w:rPr>
      </w:pPr>
      <w:r w:rsidRPr="00F328D0">
        <w:rPr>
          <w:rFonts w:asciiTheme="majorBidi" w:hAnsiTheme="majorBidi" w:cstheme="majorBidi"/>
          <w:sz w:val="36"/>
          <w:szCs w:val="36"/>
        </w:rPr>
        <w:t>. Patients with unrealistic prosthodontic expectations.</w:t>
      </w:r>
    </w:p>
    <w:p w:rsidR="00870ED9" w:rsidRPr="00F328D0" w:rsidRDefault="00870ED9" w:rsidP="00870ED9">
      <w:pPr>
        <w:bidi/>
        <w:jc w:val="right"/>
        <w:rPr>
          <w:rFonts w:asciiTheme="majorBidi" w:hAnsiTheme="majorBidi" w:cstheme="majorBidi"/>
          <w:sz w:val="36"/>
          <w:szCs w:val="36"/>
        </w:rPr>
      </w:pPr>
      <w:r w:rsidRPr="00F328D0">
        <w:rPr>
          <w:rFonts w:asciiTheme="majorBidi" w:hAnsiTheme="majorBidi" w:cstheme="majorBidi"/>
          <w:sz w:val="36"/>
          <w:szCs w:val="36"/>
        </w:rPr>
        <w:t>. Patients with parafunctional habits/bruxism</w:t>
      </w:r>
    </w:p>
    <w:p w:rsidR="00870ED9" w:rsidRPr="00F328D0" w:rsidRDefault="00870ED9" w:rsidP="00870ED9">
      <w:pPr>
        <w:bidi/>
        <w:jc w:val="right"/>
        <w:rPr>
          <w:rFonts w:asciiTheme="majorBidi" w:hAnsiTheme="majorBidi" w:cstheme="majorBidi"/>
          <w:sz w:val="36"/>
          <w:szCs w:val="36"/>
        </w:rPr>
      </w:pPr>
      <w:r w:rsidRPr="00F328D0">
        <w:rPr>
          <w:rFonts w:asciiTheme="majorBidi" w:hAnsiTheme="majorBidi" w:cstheme="majorBidi"/>
          <w:sz w:val="36"/>
          <w:szCs w:val="36"/>
        </w:rPr>
        <w:t>. Patients with poor muscular coordination.</w:t>
      </w:r>
    </w:p>
    <w:p w:rsidR="00870ED9" w:rsidRPr="00F328D0" w:rsidRDefault="00870ED9" w:rsidP="00870ED9">
      <w:pPr>
        <w:bidi/>
        <w:ind w:left="720"/>
        <w:jc w:val="right"/>
        <w:rPr>
          <w:rFonts w:asciiTheme="majorBidi" w:hAnsiTheme="majorBidi" w:cstheme="majorBidi"/>
          <w:sz w:val="36"/>
          <w:szCs w:val="36"/>
        </w:rPr>
      </w:pPr>
      <w:r w:rsidRPr="00F328D0">
        <w:rPr>
          <w:rFonts w:asciiTheme="majorBidi" w:hAnsiTheme="majorBidi" w:cstheme="majorBidi"/>
          <w:sz w:val="36"/>
          <w:szCs w:val="36"/>
        </w:rPr>
        <w:t>. Patients with hypodontia.</w:t>
      </w:r>
    </w:p>
    <w:p w:rsidR="00870ED9" w:rsidRPr="00F328D0" w:rsidRDefault="00870ED9" w:rsidP="00870ED9">
      <w:pPr>
        <w:bidi/>
        <w:ind w:left="720"/>
        <w:jc w:val="right"/>
        <w:rPr>
          <w:rFonts w:asciiTheme="majorBidi" w:hAnsiTheme="majorBidi" w:cstheme="majorBidi"/>
          <w:sz w:val="36"/>
          <w:szCs w:val="36"/>
        </w:rPr>
      </w:pPr>
    </w:p>
    <w:p w:rsidR="00870ED9" w:rsidRPr="00F328D0" w:rsidRDefault="00870ED9" w:rsidP="00870ED9">
      <w:pPr>
        <w:bidi/>
        <w:ind w:left="720"/>
        <w:jc w:val="right"/>
        <w:rPr>
          <w:rFonts w:asciiTheme="majorBidi" w:hAnsiTheme="majorBidi" w:cstheme="majorBidi"/>
          <w:sz w:val="36"/>
          <w:szCs w:val="36"/>
        </w:rPr>
      </w:pPr>
    </w:p>
    <w:p w:rsidR="00870ED9" w:rsidRPr="00F328D0" w:rsidRDefault="00870ED9" w:rsidP="00870ED9">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Contraindications are either absolute or relative; </w:t>
      </w:r>
    </w:p>
    <w:p w:rsidR="00870ED9" w:rsidRPr="00F328D0" w:rsidRDefault="00870ED9" w:rsidP="00870ED9">
      <w:pPr>
        <w:bidi/>
        <w:ind w:left="720"/>
        <w:jc w:val="right"/>
        <w:rPr>
          <w:rFonts w:asciiTheme="majorBidi" w:hAnsiTheme="majorBidi" w:cstheme="majorBidi"/>
          <w:sz w:val="36"/>
          <w:szCs w:val="36"/>
        </w:rPr>
      </w:pPr>
      <w:r w:rsidRPr="00F328D0">
        <w:rPr>
          <w:rFonts w:asciiTheme="majorBidi" w:hAnsiTheme="majorBidi" w:cstheme="majorBidi"/>
          <w:sz w:val="36"/>
          <w:szCs w:val="36"/>
        </w:rPr>
        <w:t>. Unfavorable interarch relationship, class 3 or class 2 div1.</w:t>
      </w:r>
    </w:p>
    <w:p w:rsidR="00870ED9" w:rsidRPr="00F328D0" w:rsidRDefault="00870ED9" w:rsidP="00870ED9">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 </w:t>
      </w:r>
      <w:r w:rsidR="00080216" w:rsidRPr="00F328D0">
        <w:rPr>
          <w:rFonts w:asciiTheme="majorBidi" w:hAnsiTheme="majorBidi" w:cstheme="majorBidi"/>
          <w:sz w:val="36"/>
          <w:szCs w:val="36"/>
        </w:rPr>
        <w:t>Pathological lesions in the ridge or poor oral hygiene.</w:t>
      </w: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Insufficient bone quality/quantity (relative).</w:t>
      </w: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Hematological disorders and metabolic bone diseases (relative).</w:t>
      </w: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 Patients with psychological disorders (absolute). </w:t>
      </w: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HIV (relative).</w:t>
      </w: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 Heavy smoking/alcohol (relative). </w:t>
      </w:r>
    </w:p>
    <w:p w:rsidR="000059EF"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w:t>
      </w:r>
      <w:r w:rsidR="000059EF" w:rsidRPr="00F328D0">
        <w:rPr>
          <w:rFonts w:asciiTheme="majorBidi" w:hAnsiTheme="majorBidi" w:cstheme="majorBidi"/>
          <w:sz w:val="36"/>
          <w:szCs w:val="36"/>
        </w:rPr>
        <w:t xml:space="preserve"> Bisphosphonate (oral/relative and IV/absolute)</w:t>
      </w:r>
    </w:p>
    <w:p w:rsidR="00080216" w:rsidRPr="00F328D0" w:rsidRDefault="000059EF" w:rsidP="000059EF">
      <w:pPr>
        <w:bidi/>
        <w:ind w:left="720"/>
        <w:jc w:val="right"/>
        <w:rPr>
          <w:rFonts w:asciiTheme="majorBidi" w:hAnsiTheme="majorBidi" w:cstheme="majorBidi"/>
          <w:sz w:val="36"/>
          <w:szCs w:val="36"/>
        </w:rPr>
      </w:pPr>
      <w:r w:rsidRPr="00F328D0">
        <w:rPr>
          <w:rFonts w:asciiTheme="majorBidi" w:hAnsiTheme="majorBidi" w:cstheme="majorBidi"/>
          <w:sz w:val="36"/>
          <w:szCs w:val="36"/>
        </w:rPr>
        <w:t>. Uncontrolled diabetes.</w:t>
      </w:r>
    </w:p>
    <w:p w:rsidR="000059EF" w:rsidRPr="00F328D0" w:rsidRDefault="000059EF" w:rsidP="000059EF">
      <w:pPr>
        <w:bidi/>
        <w:ind w:left="720"/>
        <w:jc w:val="right"/>
        <w:rPr>
          <w:rFonts w:asciiTheme="majorBidi" w:hAnsiTheme="majorBidi" w:cstheme="majorBidi"/>
          <w:sz w:val="36"/>
          <w:szCs w:val="36"/>
        </w:rPr>
      </w:pPr>
      <w:r w:rsidRPr="00F328D0">
        <w:rPr>
          <w:rFonts w:asciiTheme="majorBidi" w:hAnsiTheme="majorBidi" w:cstheme="majorBidi"/>
          <w:sz w:val="36"/>
          <w:szCs w:val="36"/>
        </w:rPr>
        <w:t>. Patients with CVD, heart diseases or recent MI (absolute).</w:t>
      </w:r>
    </w:p>
    <w:p w:rsidR="000059EF" w:rsidRPr="00F328D0" w:rsidRDefault="000059EF" w:rsidP="000059EF">
      <w:pPr>
        <w:pStyle w:val="a3"/>
        <w:numPr>
          <w:ilvl w:val="0"/>
          <w:numId w:val="9"/>
        </w:numPr>
        <w:jc w:val="right"/>
        <w:rPr>
          <w:rFonts w:asciiTheme="majorBidi" w:hAnsiTheme="majorBidi" w:cstheme="majorBidi"/>
          <w:sz w:val="36"/>
          <w:szCs w:val="36"/>
        </w:rPr>
      </w:pPr>
      <w:r w:rsidRPr="00F328D0">
        <w:rPr>
          <w:rFonts w:asciiTheme="majorBidi" w:hAnsiTheme="majorBidi" w:cstheme="majorBidi"/>
          <w:sz w:val="36"/>
          <w:szCs w:val="36"/>
        </w:rPr>
        <w:t>Radiation is not a contraindication, we wait one year and give hyperbaric oxygen.</w:t>
      </w:r>
    </w:p>
    <w:p w:rsidR="000059EF" w:rsidRPr="00F328D0" w:rsidRDefault="000059EF" w:rsidP="000059EF">
      <w:pPr>
        <w:pStyle w:val="a3"/>
        <w:ind w:left="1080"/>
        <w:jc w:val="right"/>
        <w:rPr>
          <w:rFonts w:asciiTheme="majorBidi" w:hAnsiTheme="majorBidi" w:cstheme="majorBidi"/>
          <w:sz w:val="36"/>
          <w:szCs w:val="36"/>
        </w:rPr>
      </w:pPr>
    </w:p>
    <w:p w:rsidR="000059EF" w:rsidRPr="00F328D0" w:rsidRDefault="000059EF" w:rsidP="000059EF">
      <w:pPr>
        <w:pStyle w:val="a3"/>
        <w:ind w:left="1080"/>
        <w:jc w:val="right"/>
        <w:rPr>
          <w:rFonts w:asciiTheme="majorBidi" w:hAnsiTheme="majorBidi" w:cstheme="majorBidi"/>
          <w:sz w:val="36"/>
          <w:szCs w:val="36"/>
        </w:rPr>
      </w:pP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Assessment:</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-general:</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1-patient's complain.</w:t>
      </w:r>
      <w:r w:rsidRPr="00F328D0">
        <w:rPr>
          <w:rFonts w:asciiTheme="majorBidi" w:hAnsiTheme="majorBidi" w:cstheme="majorBidi"/>
          <w:sz w:val="36"/>
          <w:szCs w:val="36"/>
        </w:rPr>
        <w:br/>
        <w:t>2-medical history.</w:t>
      </w:r>
      <w:r w:rsidRPr="00F328D0">
        <w:rPr>
          <w:rFonts w:asciiTheme="majorBidi" w:hAnsiTheme="majorBidi" w:cstheme="majorBidi"/>
          <w:sz w:val="36"/>
          <w:szCs w:val="36"/>
        </w:rPr>
        <w:br/>
        <w:t>3-psychological assessment.</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4-social history.</w:t>
      </w:r>
      <w:r w:rsidRPr="00F328D0">
        <w:rPr>
          <w:rFonts w:asciiTheme="majorBidi" w:hAnsiTheme="majorBidi" w:cstheme="majorBidi"/>
          <w:sz w:val="36"/>
          <w:szCs w:val="36"/>
        </w:rPr>
        <w:br/>
        <w:t>5-dental history.</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-local:</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1-type of mucosa.</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2-health of remaining dentition/PDL.</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3-alveolar ridge shape and form.</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4-mucosal soft tissue attachments.</w:t>
      </w:r>
    </w:p>
    <w:p w:rsidR="000059EF" w:rsidRPr="00F328D0" w:rsidRDefault="000059EF"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5-interarch and interocclusal space horizontally and vertically.</w:t>
      </w:r>
    </w:p>
    <w:p w:rsidR="000059EF" w:rsidRPr="00F328D0" w:rsidRDefault="00F328D0"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 We take OPG, lateral ceph, periapicals, CT and CBCT.</w:t>
      </w:r>
    </w:p>
    <w:p w:rsidR="00F328D0" w:rsidRPr="00F328D0" w:rsidRDefault="00F328D0" w:rsidP="000059EF">
      <w:pPr>
        <w:pStyle w:val="a3"/>
        <w:ind w:left="1080"/>
        <w:jc w:val="right"/>
        <w:rPr>
          <w:rFonts w:asciiTheme="majorBidi" w:hAnsiTheme="majorBidi" w:cstheme="majorBidi"/>
          <w:sz w:val="36"/>
          <w:szCs w:val="36"/>
        </w:rPr>
      </w:pPr>
      <w:r w:rsidRPr="00F328D0">
        <w:rPr>
          <w:rFonts w:asciiTheme="majorBidi" w:hAnsiTheme="majorBidi" w:cstheme="majorBidi"/>
          <w:sz w:val="36"/>
          <w:szCs w:val="36"/>
        </w:rPr>
        <w:t>** Ridge mapping to assess bone width manually or using osteometer.</w:t>
      </w:r>
    </w:p>
    <w:p w:rsidR="00F328D0" w:rsidRPr="00F328D0" w:rsidRDefault="00F328D0" w:rsidP="000059EF">
      <w:pPr>
        <w:pStyle w:val="a3"/>
        <w:ind w:left="1080"/>
        <w:jc w:val="right"/>
        <w:rPr>
          <w:rFonts w:asciiTheme="majorBidi" w:hAnsiTheme="majorBidi" w:cstheme="majorBidi"/>
          <w:sz w:val="36"/>
          <w:szCs w:val="36"/>
        </w:rPr>
      </w:pPr>
    </w:p>
    <w:p w:rsidR="00F328D0" w:rsidRPr="00F328D0" w:rsidRDefault="00F328D0" w:rsidP="000059EF">
      <w:pPr>
        <w:pStyle w:val="a3"/>
        <w:ind w:left="1080"/>
        <w:jc w:val="right"/>
        <w:rPr>
          <w:rFonts w:asciiTheme="majorBidi" w:hAnsiTheme="majorBidi" w:cstheme="majorBidi"/>
          <w:sz w:val="36"/>
          <w:szCs w:val="36"/>
        </w:rPr>
      </w:pPr>
    </w:p>
    <w:p w:rsidR="000059EF" w:rsidRPr="00F328D0" w:rsidRDefault="000059EF" w:rsidP="000059EF">
      <w:pPr>
        <w:pStyle w:val="a3"/>
        <w:ind w:left="1080"/>
        <w:jc w:val="right"/>
        <w:rPr>
          <w:rFonts w:asciiTheme="majorBidi" w:hAnsiTheme="majorBidi" w:cstheme="majorBidi"/>
          <w:sz w:val="36"/>
          <w:szCs w:val="36"/>
        </w:rPr>
      </w:pPr>
    </w:p>
    <w:p w:rsidR="000059EF" w:rsidRPr="00F328D0" w:rsidRDefault="000059EF" w:rsidP="000059EF">
      <w:pPr>
        <w:pStyle w:val="a3"/>
        <w:ind w:left="1080"/>
        <w:jc w:val="right"/>
        <w:rPr>
          <w:rFonts w:asciiTheme="majorBidi" w:hAnsiTheme="majorBidi" w:cstheme="majorBidi"/>
          <w:sz w:val="36"/>
          <w:szCs w:val="36"/>
        </w:rPr>
      </w:pPr>
    </w:p>
    <w:p w:rsidR="000059EF" w:rsidRPr="00F328D0" w:rsidRDefault="000059EF" w:rsidP="000059EF">
      <w:pPr>
        <w:pStyle w:val="a3"/>
        <w:ind w:left="1080"/>
        <w:jc w:val="center"/>
        <w:rPr>
          <w:rFonts w:asciiTheme="majorBidi" w:hAnsiTheme="majorBidi" w:cstheme="majorBidi"/>
          <w:sz w:val="36"/>
          <w:szCs w:val="36"/>
        </w:rPr>
      </w:pPr>
    </w:p>
    <w:p w:rsidR="000059EF" w:rsidRPr="00F328D0" w:rsidRDefault="000059EF" w:rsidP="000059EF">
      <w:pPr>
        <w:bidi/>
        <w:ind w:left="720"/>
        <w:jc w:val="right"/>
        <w:rPr>
          <w:rFonts w:asciiTheme="majorBidi" w:hAnsiTheme="majorBidi" w:cstheme="majorBidi"/>
          <w:sz w:val="36"/>
          <w:szCs w:val="36"/>
        </w:rPr>
      </w:pPr>
    </w:p>
    <w:p w:rsidR="00080216" w:rsidRPr="00F328D0" w:rsidRDefault="00080216" w:rsidP="00080216">
      <w:pPr>
        <w:bidi/>
        <w:ind w:left="720"/>
        <w:jc w:val="right"/>
        <w:rPr>
          <w:rFonts w:asciiTheme="majorBidi" w:hAnsiTheme="majorBidi" w:cstheme="majorBidi"/>
          <w:sz w:val="36"/>
          <w:szCs w:val="36"/>
        </w:rPr>
      </w:pPr>
    </w:p>
    <w:p w:rsidR="00080216" w:rsidRPr="00F328D0" w:rsidRDefault="00080216" w:rsidP="00080216">
      <w:pPr>
        <w:bidi/>
        <w:ind w:left="720"/>
        <w:jc w:val="right"/>
        <w:rPr>
          <w:rFonts w:asciiTheme="majorBidi" w:hAnsiTheme="majorBidi" w:cstheme="majorBidi"/>
          <w:sz w:val="36"/>
          <w:szCs w:val="36"/>
        </w:rPr>
      </w:pP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 </w:t>
      </w:r>
    </w:p>
    <w:p w:rsidR="00080216" w:rsidRPr="00F328D0" w:rsidRDefault="00080216" w:rsidP="00080216">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 </w:t>
      </w:r>
    </w:p>
    <w:p w:rsidR="00080216" w:rsidRPr="00F328D0" w:rsidRDefault="00080216" w:rsidP="00080216">
      <w:pPr>
        <w:bidi/>
        <w:ind w:left="720"/>
        <w:jc w:val="right"/>
        <w:rPr>
          <w:rFonts w:asciiTheme="majorBidi" w:hAnsiTheme="majorBidi" w:cstheme="majorBidi"/>
          <w:sz w:val="36"/>
          <w:szCs w:val="36"/>
        </w:rPr>
      </w:pPr>
    </w:p>
    <w:p w:rsidR="00870ED9" w:rsidRPr="00F328D0" w:rsidRDefault="00870ED9" w:rsidP="00870ED9">
      <w:pPr>
        <w:bidi/>
        <w:ind w:left="720"/>
        <w:jc w:val="right"/>
        <w:rPr>
          <w:rFonts w:asciiTheme="majorBidi" w:hAnsiTheme="majorBidi" w:cstheme="majorBidi"/>
          <w:sz w:val="36"/>
          <w:szCs w:val="36"/>
        </w:rPr>
      </w:pPr>
      <w:r w:rsidRPr="00F328D0">
        <w:rPr>
          <w:rFonts w:asciiTheme="majorBidi" w:hAnsiTheme="majorBidi" w:cstheme="majorBidi"/>
          <w:sz w:val="36"/>
          <w:szCs w:val="36"/>
        </w:rPr>
        <w:t xml:space="preserve">. </w:t>
      </w:r>
    </w:p>
    <w:p w:rsidR="00870ED9" w:rsidRPr="00F328D0" w:rsidRDefault="00870ED9" w:rsidP="00870ED9">
      <w:pPr>
        <w:bidi/>
        <w:ind w:left="720"/>
        <w:jc w:val="right"/>
        <w:rPr>
          <w:rFonts w:asciiTheme="majorBidi" w:hAnsiTheme="majorBidi" w:cstheme="majorBidi"/>
          <w:sz w:val="36"/>
          <w:szCs w:val="36"/>
        </w:rPr>
      </w:pPr>
    </w:p>
    <w:p w:rsidR="00870ED9" w:rsidRPr="00F328D0" w:rsidRDefault="00870ED9" w:rsidP="00870ED9">
      <w:pPr>
        <w:bidi/>
        <w:jc w:val="right"/>
        <w:rPr>
          <w:rFonts w:asciiTheme="majorBidi" w:hAnsiTheme="majorBidi" w:cstheme="majorBidi"/>
          <w:sz w:val="36"/>
          <w:szCs w:val="36"/>
        </w:rPr>
      </w:pPr>
    </w:p>
    <w:p w:rsidR="00870ED9" w:rsidRPr="00F328D0" w:rsidRDefault="00870ED9" w:rsidP="00870ED9">
      <w:pPr>
        <w:bidi/>
        <w:jc w:val="right"/>
        <w:rPr>
          <w:rFonts w:asciiTheme="majorBidi" w:hAnsiTheme="majorBidi" w:cstheme="majorBidi"/>
          <w:sz w:val="36"/>
          <w:szCs w:val="36"/>
        </w:rPr>
      </w:pPr>
    </w:p>
    <w:p w:rsidR="00A6053E" w:rsidRPr="00F328D0" w:rsidRDefault="00A6053E" w:rsidP="00A6053E">
      <w:pPr>
        <w:bidi/>
        <w:jc w:val="right"/>
        <w:rPr>
          <w:rFonts w:asciiTheme="majorBidi" w:hAnsiTheme="majorBidi" w:cstheme="majorBidi"/>
          <w:sz w:val="36"/>
          <w:szCs w:val="36"/>
        </w:rPr>
      </w:pPr>
      <w:r w:rsidRPr="00F328D0">
        <w:rPr>
          <w:rFonts w:asciiTheme="majorBidi" w:hAnsiTheme="majorBidi" w:cstheme="majorBidi"/>
          <w:sz w:val="36"/>
          <w:szCs w:val="36"/>
        </w:rPr>
        <w:t xml:space="preserve">. </w:t>
      </w:r>
    </w:p>
    <w:p w:rsidR="00A6053E" w:rsidRPr="00F328D0" w:rsidRDefault="00A6053E" w:rsidP="00A6053E">
      <w:pPr>
        <w:bidi/>
        <w:jc w:val="right"/>
        <w:rPr>
          <w:rFonts w:asciiTheme="majorBidi" w:hAnsiTheme="majorBidi" w:cstheme="majorBidi"/>
          <w:sz w:val="36"/>
          <w:szCs w:val="36"/>
        </w:rPr>
      </w:pPr>
    </w:p>
    <w:p w:rsidR="00A6053E" w:rsidRPr="00F328D0" w:rsidRDefault="00A6053E" w:rsidP="00A6053E">
      <w:pPr>
        <w:bidi/>
        <w:jc w:val="right"/>
        <w:rPr>
          <w:rFonts w:asciiTheme="majorBidi" w:hAnsiTheme="majorBidi" w:cstheme="majorBidi"/>
          <w:sz w:val="36"/>
          <w:szCs w:val="36"/>
        </w:rPr>
      </w:pPr>
    </w:p>
    <w:p w:rsidR="00A6053E" w:rsidRPr="00F328D0" w:rsidRDefault="00A6053E" w:rsidP="00A6053E">
      <w:pPr>
        <w:bidi/>
        <w:jc w:val="right"/>
        <w:rPr>
          <w:rFonts w:asciiTheme="majorBidi" w:hAnsiTheme="majorBidi" w:cstheme="majorBidi"/>
          <w:sz w:val="36"/>
          <w:szCs w:val="36"/>
        </w:rPr>
      </w:pPr>
    </w:p>
    <w:p w:rsidR="00D76D8D" w:rsidRPr="00F328D0" w:rsidRDefault="00D76D8D" w:rsidP="00D76D8D">
      <w:pPr>
        <w:bidi/>
        <w:jc w:val="right"/>
        <w:rPr>
          <w:rFonts w:asciiTheme="majorBidi" w:hAnsiTheme="majorBidi" w:cstheme="majorBidi"/>
          <w:sz w:val="36"/>
          <w:szCs w:val="36"/>
        </w:rPr>
      </w:pPr>
    </w:p>
    <w:p w:rsidR="00D76D8D" w:rsidRPr="00F328D0" w:rsidRDefault="00D76D8D" w:rsidP="00D76D8D">
      <w:pPr>
        <w:bidi/>
        <w:jc w:val="right"/>
        <w:rPr>
          <w:rFonts w:asciiTheme="majorBidi" w:hAnsiTheme="majorBidi" w:cstheme="majorBidi"/>
          <w:b/>
          <w:bCs/>
          <w:i/>
          <w:iCs/>
          <w:sz w:val="36"/>
          <w:szCs w:val="36"/>
        </w:rPr>
      </w:pPr>
    </w:p>
    <w:p w:rsidR="00D76D8D" w:rsidRPr="00F328D0" w:rsidRDefault="00D76D8D" w:rsidP="00D76D8D">
      <w:pPr>
        <w:pStyle w:val="a3"/>
        <w:autoSpaceDE w:val="0"/>
        <w:autoSpaceDN w:val="0"/>
        <w:bidi w:val="0"/>
        <w:adjustRightInd w:val="0"/>
        <w:spacing w:after="0" w:line="240" w:lineRule="auto"/>
        <w:ind w:left="0"/>
        <w:rPr>
          <w:rFonts w:asciiTheme="majorBidi" w:hAnsiTheme="majorBidi" w:cstheme="majorBidi"/>
          <w:sz w:val="36"/>
          <w:szCs w:val="36"/>
        </w:rPr>
      </w:pPr>
    </w:p>
    <w:p w:rsidR="00172678" w:rsidRPr="00F328D0" w:rsidRDefault="00172678" w:rsidP="00172678">
      <w:pPr>
        <w:pStyle w:val="a3"/>
        <w:autoSpaceDE w:val="0"/>
        <w:autoSpaceDN w:val="0"/>
        <w:bidi w:val="0"/>
        <w:adjustRightInd w:val="0"/>
        <w:spacing w:after="0" w:line="240" w:lineRule="auto"/>
        <w:ind w:left="0"/>
        <w:rPr>
          <w:rFonts w:asciiTheme="majorBidi" w:hAnsiTheme="majorBidi" w:cstheme="majorBidi"/>
          <w:sz w:val="36"/>
          <w:szCs w:val="36"/>
        </w:rPr>
      </w:pPr>
    </w:p>
    <w:p w:rsidR="003B62B0" w:rsidRPr="00F328D0" w:rsidRDefault="003B62B0" w:rsidP="003B62B0">
      <w:pPr>
        <w:pStyle w:val="a3"/>
        <w:autoSpaceDE w:val="0"/>
        <w:autoSpaceDN w:val="0"/>
        <w:bidi w:val="0"/>
        <w:adjustRightInd w:val="0"/>
        <w:spacing w:after="0" w:line="240" w:lineRule="auto"/>
        <w:ind w:left="0"/>
        <w:rPr>
          <w:rFonts w:asciiTheme="majorBidi" w:hAnsiTheme="majorBidi" w:cstheme="majorBidi"/>
          <w:sz w:val="36"/>
          <w:szCs w:val="36"/>
        </w:rPr>
      </w:pPr>
    </w:p>
    <w:p w:rsidR="003366EB" w:rsidRPr="00F328D0" w:rsidRDefault="003B62B0" w:rsidP="003B62B0">
      <w:pPr>
        <w:autoSpaceDE w:val="0"/>
        <w:autoSpaceDN w:val="0"/>
        <w:adjustRightInd w:val="0"/>
        <w:spacing w:after="0" w:line="240" w:lineRule="auto"/>
        <w:rPr>
          <w:rFonts w:asciiTheme="majorBidi" w:hAnsiTheme="majorBidi" w:cstheme="majorBidi"/>
          <w:sz w:val="36"/>
          <w:szCs w:val="36"/>
        </w:rPr>
      </w:pPr>
      <w:r w:rsidRPr="00F328D0">
        <w:rPr>
          <w:rFonts w:asciiTheme="majorBidi" w:hAnsiTheme="majorBidi" w:cstheme="majorBidi"/>
          <w:sz w:val="36"/>
          <w:szCs w:val="36"/>
        </w:rPr>
        <w:t xml:space="preserve"> </w:t>
      </w:r>
    </w:p>
    <w:p w:rsidR="003366EB" w:rsidRPr="00F328D0" w:rsidRDefault="003366EB" w:rsidP="003366EB">
      <w:pPr>
        <w:rPr>
          <w:rFonts w:asciiTheme="majorBidi" w:hAnsiTheme="majorBidi" w:cstheme="majorBidi"/>
          <w:sz w:val="36"/>
          <w:szCs w:val="36"/>
        </w:rPr>
      </w:pPr>
    </w:p>
    <w:p w:rsidR="003366EB" w:rsidRPr="00F328D0" w:rsidRDefault="003366EB" w:rsidP="003366EB">
      <w:pPr>
        <w:rPr>
          <w:rFonts w:asciiTheme="majorBidi" w:hAnsiTheme="majorBidi" w:cstheme="majorBidi"/>
          <w:sz w:val="36"/>
          <w:szCs w:val="36"/>
        </w:rPr>
      </w:pPr>
    </w:p>
    <w:p w:rsidR="008010F0" w:rsidRPr="00F328D0" w:rsidRDefault="008010F0" w:rsidP="008010F0">
      <w:pPr>
        <w:pStyle w:val="a3"/>
        <w:bidi w:val="0"/>
        <w:ind w:left="0"/>
        <w:rPr>
          <w:rFonts w:asciiTheme="majorBidi" w:hAnsiTheme="majorBidi" w:cstheme="majorBidi"/>
          <w:sz w:val="36"/>
          <w:szCs w:val="36"/>
        </w:rPr>
      </w:pPr>
    </w:p>
    <w:p w:rsidR="008010F0" w:rsidRPr="00F328D0" w:rsidRDefault="008010F0" w:rsidP="008010F0">
      <w:pPr>
        <w:pStyle w:val="a3"/>
        <w:autoSpaceDE w:val="0"/>
        <w:autoSpaceDN w:val="0"/>
        <w:bidi w:val="0"/>
        <w:adjustRightInd w:val="0"/>
        <w:spacing w:after="0" w:line="240" w:lineRule="auto"/>
        <w:ind w:left="0"/>
        <w:rPr>
          <w:rFonts w:asciiTheme="majorBidi" w:hAnsiTheme="majorBidi" w:cstheme="majorBidi"/>
          <w:sz w:val="36"/>
          <w:szCs w:val="36"/>
        </w:rPr>
      </w:pPr>
    </w:p>
    <w:p w:rsidR="007E2E14" w:rsidRPr="00F328D0" w:rsidRDefault="007E2E14" w:rsidP="007E2E14">
      <w:pPr>
        <w:rPr>
          <w:rFonts w:asciiTheme="majorBidi" w:hAnsiTheme="majorBidi" w:cstheme="majorBidi"/>
          <w:sz w:val="36"/>
          <w:szCs w:val="36"/>
        </w:rPr>
      </w:pPr>
    </w:p>
    <w:p w:rsidR="007E2E14" w:rsidRPr="00F328D0" w:rsidRDefault="007E2E14" w:rsidP="007E2E14">
      <w:pPr>
        <w:rPr>
          <w:rFonts w:asciiTheme="majorBidi" w:hAnsiTheme="majorBidi" w:cstheme="majorBidi"/>
          <w:sz w:val="36"/>
          <w:szCs w:val="36"/>
        </w:rPr>
      </w:pPr>
    </w:p>
    <w:p w:rsidR="007E2E14" w:rsidRPr="00F328D0" w:rsidRDefault="007E2E14" w:rsidP="007E2E14">
      <w:pPr>
        <w:rPr>
          <w:rFonts w:asciiTheme="majorBidi" w:hAnsiTheme="majorBidi" w:cstheme="majorBidi"/>
          <w:sz w:val="36"/>
          <w:szCs w:val="36"/>
        </w:rPr>
      </w:pPr>
    </w:p>
    <w:p w:rsidR="007E2E14" w:rsidRPr="00F328D0" w:rsidRDefault="007E2E14" w:rsidP="007E2E14">
      <w:pPr>
        <w:jc w:val="center"/>
        <w:rPr>
          <w:rFonts w:asciiTheme="majorBidi" w:hAnsiTheme="majorBidi" w:cstheme="majorBidi"/>
          <w:sz w:val="36"/>
          <w:szCs w:val="36"/>
        </w:rPr>
      </w:pPr>
    </w:p>
    <w:sectPr w:rsidR="007E2E14" w:rsidRPr="00F32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B"/>
    <w:multiLevelType w:val="hybridMultilevel"/>
    <w:tmpl w:val="24D0B71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3526368"/>
    <w:multiLevelType w:val="hybridMultilevel"/>
    <w:tmpl w:val="9502E4C4"/>
    <w:lvl w:ilvl="0" w:tplc="1506E15E">
      <w:start w:val="4"/>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1594C"/>
    <w:multiLevelType w:val="hybridMultilevel"/>
    <w:tmpl w:val="8DD254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A871676"/>
    <w:multiLevelType w:val="hybridMultilevel"/>
    <w:tmpl w:val="10FA9962"/>
    <w:lvl w:ilvl="0" w:tplc="0EBEF88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40E009BB"/>
    <w:multiLevelType w:val="hybridMultilevel"/>
    <w:tmpl w:val="C35EA620"/>
    <w:lvl w:ilvl="0" w:tplc="1F788C7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5B2ABE"/>
    <w:multiLevelType w:val="hybridMultilevel"/>
    <w:tmpl w:val="49ACDAA4"/>
    <w:lvl w:ilvl="0" w:tplc="CCE052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0A58B1"/>
    <w:multiLevelType w:val="hybridMultilevel"/>
    <w:tmpl w:val="87A06F5C"/>
    <w:lvl w:ilvl="0" w:tplc="CCE0526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971FBF"/>
    <w:multiLevelType w:val="hybridMultilevel"/>
    <w:tmpl w:val="4064A68A"/>
    <w:lvl w:ilvl="0" w:tplc="CCE0526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EC5F29"/>
    <w:multiLevelType w:val="hybridMultilevel"/>
    <w:tmpl w:val="90D25B96"/>
    <w:lvl w:ilvl="0" w:tplc="CCE052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14"/>
    <w:rsid w:val="000059EF"/>
    <w:rsid w:val="00080216"/>
    <w:rsid w:val="00172678"/>
    <w:rsid w:val="003366EB"/>
    <w:rsid w:val="003B62B0"/>
    <w:rsid w:val="00717000"/>
    <w:rsid w:val="007E2E14"/>
    <w:rsid w:val="008010F0"/>
    <w:rsid w:val="00870ED9"/>
    <w:rsid w:val="009B0AAD"/>
    <w:rsid w:val="00A6053E"/>
    <w:rsid w:val="00AD7975"/>
    <w:rsid w:val="00AF296E"/>
    <w:rsid w:val="00D76D8D"/>
    <w:rsid w:val="00F328D0"/>
    <w:rsid w:val="00F82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E14"/>
    <w:pPr>
      <w:bidi/>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E14"/>
    <w:pPr>
      <w:bidi/>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4624">
      <w:bodyDiv w:val="1"/>
      <w:marLeft w:val="0"/>
      <w:marRight w:val="0"/>
      <w:marTop w:val="0"/>
      <w:marBottom w:val="0"/>
      <w:divBdr>
        <w:top w:val="none" w:sz="0" w:space="0" w:color="auto"/>
        <w:left w:val="none" w:sz="0" w:space="0" w:color="auto"/>
        <w:bottom w:val="none" w:sz="0" w:space="0" w:color="auto"/>
        <w:right w:val="none" w:sz="0" w:space="0" w:color="auto"/>
      </w:divBdr>
    </w:div>
    <w:div w:id="484979887">
      <w:bodyDiv w:val="1"/>
      <w:marLeft w:val="0"/>
      <w:marRight w:val="0"/>
      <w:marTop w:val="0"/>
      <w:marBottom w:val="0"/>
      <w:divBdr>
        <w:top w:val="none" w:sz="0" w:space="0" w:color="auto"/>
        <w:left w:val="none" w:sz="0" w:space="0" w:color="auto"/>
        <w:bottom w:val="none" w:sz="0" w:space="0" w:color="auto"/>
        <w:right w:val="none" w:sz="0" w:space="0" w:color="auto"/>
      </w:divBdr>
    </w:div>
    <w:div w:id="550119311">
      <w:bodyDiv w:val="1"/>
      <w:marLeft w:val="0"/>
      <w:marRight w:val="0"/>
      <w:marTop w:val="0"/>
      <w:marBottom w:val="0"/>
      <w:divBdr>
        <w:top w:val="none" w:sz="0" w:space="0" w:color="auto"/>
        <w:left w:val="none" w:sz="0" w:space="0" w:color="auto"/>
        <w:bottom w:val="none" w:sz="0" w:space="0" w:color="auto"/>
        <w:right w:val="none" w:sz="0" w:space="0" w:color="auto"/>
      </w:divBdr>
    </w:div>
    <w:div w:id="594435380">
      <w:bodyDiv w:val="1"/>
      <w:marLeft w:val="0"/>
      <w:marRight w:val="0"/>
      <w:marTop w:val="0"/>
      <w:marBottom w:val="0"/>
      <w:divBdr>
        <w:top w:val="none" w:sz="0" w:space="0" w:color="auto"/>
        <w:left w:val="none" w:sz="0" w:space="0" w:color="auto"/>
        <w:bottom w:val="none" w:sz="0" w:space="0" w:color="auto"/>
        <w:right w:val="none" w:sz="0" w:space="0" w:color="auto"/>
      </w:divBdr>
    </w:div>
    <w:div w:id="851190513">
      <w:bodyDiv w:val="1"/>
      <w:marLeft w:val="0"/>
      <w:marRight w:val="0"/>
      <w:marTop w:val="0"/>
      <w:marBottom w:val="0"/>
      <w:divBdr>
        <w:top w:val="none" w:sz="0" w:space="0" w:color="auto"/>
        <w:left w:val="none" w:sz="0" w:space="0" w:color="auto"/>
        <w:bottom w:val="none" w:sz="0" w:space="0" w:color="auto"/>
        <w:right w:val="none" w:sz="0" w:space="0" w:color="auto"/>
      </w:divBdr>
    </w:div>
    <w:div w:id="1506556954">
      <w:bodyDiv w:val="1"/>
      <w:marLeft w:val="0"/>
      <w:marRight w:val="0"/>
      <w:marTop w:val="0"/>
      <w:marBottom w:val="0"/>
      <w:divBdr>
        <w:top w:val="none" w:sz="0" w:space="0" w:color="auto"/>
        <w:left w:val="none" w:sz="0" w:space="0" w:color="auto"/>
        <w:bottom w:val="none" w:sz="0" w:space="0" w:color="auto"/>
        <w:right w:val="none" w:sz="0" w:space="0" w:color="auto"/>
      </w:divBdr>
    </w:div>
    <w:div w:id="1636568365">
      <w:bodyDiv w:val="1"/>
      <w:marLeft w:val="0"/>
      <w:marRight w:val="0"/>
      <w:marTop w:val="0"/>
      <w:marBottom w:val="0"/>
      <w:divBdr>
        <w:top w:val="none" w:sz="0" w:space="0" w:color="auto"/>
        <w:left w:val="none" w:sz="0" w:space="0" w:color="auto"/>
        <w:bottom w:val="none" w:sz="0" w:space="0" w:color="auto"/>
        <w:right w:val="none" w:sz="0" w:space="0" w:color="auto"/>
      </w:divBdr>
    </w:div>
    <w:div w:id="18892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2017-05-08T16:42:00Z</dcterms:created>
  <dcterms:modified xsi:type="dcterms:W3CDTF">2017-05-08T16:42:00Z</dcterms:modified>
</cp:coreProperties>
</file>